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79603E" w:rsidRPr="00F86E6B" w:rsidRDefault="0079603E" w:rsidP="00F86E6B">
      <w:pPr>
        <w:autoSpaceDE w:val="0"/>
        <w:spacing w:line="288" w:lineRule="auto"/>
        <w:jc w:val="right"/>
        <w:rPr>
          <w:rFonts w:ascii="Book Antiqua" w:eastAsia="Times New Roman" w:hAnsi="Book Antiqua" w:cs="Arial"/>
          <w:b/>
          <w:bCs/>
          <w:i/>
          <w:iCs/>
          <w:color w:val="000000"/>
          <w:szCs w:val="22"/>
          <w:lang w:eastAsia="ar-SA" w:bidi="ar-SA"/>
        </w:rPr>
      </w:pPr>
      <w:bookmarkStart w:id="0" w:name="_Hlk492323117"/>
      <w:r w:rsidRPr="00F86E6B">
        <w:rPr>
          <w:rFonts w:ascii="Book Antiqua" w:eastAsia="Times New Roman" w:hAnsi="Book Antiqua" w:cs="Arial"/>
          <w:b/>
          <w:bCs/>
          <w:i/>
          <w:iCs/>
          <w:color w:val="000000"/>
          <w:szCs w:val="22"/>
          <w:lang w:eastAsia="ar-SA" w:bidi="ar-SA"/>
        </w:rPr>
        <w:t xml:space="preserve">Příloha č. </w:t>
      </w:r>
      <w:r w:rsidR="00680CD2" w:rsidRPr="00F86E6B">
        <w:rPr>
          <w:rFonts w:ascii="Book Antiqua" w:eastAsia="Times New Roman" w:hAnsi="Book Antiqua" w:cs="Arial"/>
          <w:b/>
          <w:bCs/>
          <w:i/>
          <w:iCs/>
          <w:color w:val="000000"/>
          <w:szCs w:val="22"/>
          <w:lang w:eastAsia="ar-SA" w:bidi="ar-SA"/>
        </w:rPr>
        <w:t>1</w:t>
      </w:r>
      <w:r w:rsidR="00F86E6B" w:rsidRPr="00F86E6B">
        <w:rPr>
          <w:rFonts w:ascii="Book Antiqua" w:eastAsia="Times New Roman" w:hAnsi="Book Antiqua" w:cs="Arial"/>
          <w:b/>
          <w:bCs/>
          <w:i/>
          <w:iCs/>
          <w:color w:val="000000"/>
          <w:szCs w:val="22"/>
          <w:lang w:eastAsia="ar-SA" w:bidi="ar-SA"/>
        </w:rPr>
        <w:t xml:space="preserve"> ke smlouvě o dílo</w:t>
      </w:r>
    </w:p>
    <w:tbl>
      <w:tblPr>
        <w:tblW w:w="17698" w:type="dxa"/>
        <w:tblInd w:w="7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41"/>
        <w:gridCol w:w="840"/>
        <w:gridCol w:w="835"/>
        <w:gridCol w:w="976"/>
        <w:gridCol w:w="976"/>
        <w:gridCol w:w="570"/>
        <w:gridCol w:w="406"/>
        <w:gridCol w:w="570"/>
        <w:gridCol w:w="406"/>
        <w:gridCol w:w="570"/>
        <w:gridCol w:w="406"/>
        <w:gridCol w:w="570"/>
        <w:gridCol w:w="406"/>
        <w:gridCol w:w="570"/>
        <w:gridCol w:w="406"/>
        <w:gridCol w:w="570"/>
        <w:gridCol w:w="406"/>
        <w:gridCol w:w="570"/>
        <w:gridCol w:w="406"/>
        <w:gridCol w:w="570"/>
        <w:gridCol w:w="406"/>
        <w:gridCol w:w="570"/>
        <w:gridCol w:w="406"/>
        <w:gridCol w:w="570"/>
        <w:gridCol w:w="406"/>
        <w:gridCol w:w="570"/>
      </w:tblGrid>
      <w:tr w:rsidR="00F86E6B" w:rsidRPr="00F86E6B" w:rsidTr="00F86E6B">
        <w:trPr>
          <w:trHeight w:val="300"/>
        </w:trPr>
        <w:tc>
          <w:tcPr>
            <w:tcW w:w="541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bookmarkEnd w:id="0"/>
          <w:p w:rsidR="00F86E6B" w:rsidRPr="00F86E6B" w:rsidRDefault="00A937E8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</w:pPr>
            <w:r w:rsidRPr="00A937E8"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  <w:t>VĚCNÝ A ČASOVÝ HARMONOGRAM</w:t>
            </w:r>
            <w:r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  <w:t xml:space="preserve"> </w:t>
            </w:r>
            <w:r w:rsidR="00F86E6B" w:rsidRPr="00F86E6B"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  <w:t>STAVEBNÍCH PRACÍ</w:t>
            </w: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</w:pPr>
          </w:p>
        </w:tc>
        <w:tc>
          <w:tcPr>
            <w:tcW w:w="15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2"/>
                <w:szCs w:val="22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trHeight w:val="300"/>
        </w:trPr>
        <w:tc>
          <w:tcPr>
            <w:tcW w:w="793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767" w:rsidRDefault="00AD7767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</w:pPr>
          </w:p>
          <w:p w:rsidR="00AD7767" w:rsidRDefault="00AD7767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</w:pPr>
          </w:p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  <w:t>Oprava bytových domů Bochoř, ulice Zahradní č. 395/1 a č. 396/2 - I. ETAPA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15"/>
        </w:trPr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2"/>
                <w:szCs w:val="22"/>
                <w:lang w:eastAsia="cs-CZ" w:bidi="ar-SA"/>
              </w:rPr>
              <w:t xml:space="preserve">časová osa od předání staveniště </w:t>
            </w:r>
          </w:p>
        </w:tc>
        <w:tc>
          <w:tcPr>
            <w:tcW w:w="3627" w:type="dxa"/>
            <w:gridSpan w:val="4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1. měsíc</w:t>
            </w:r>
          </w:p>
        </w:tc>
        <w:tc>
          <w:tcPr>
            <w:tcW w:w="3904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2. měsíc</w:t>
            </w:r>
          </w:p>
        </w:tc>
        <w:tc>
          <w:tcPr>
            <w:tcW w:w="2928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3. měsíc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15"/>
        </w:trPr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84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1. týden 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2. týden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3. týden 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4.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5.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6.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7.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8.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9.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10.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11. týden 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402"/>
        </w:trPr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  <w:t>způsobilé hlavní výdaje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demontáže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zemní práce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zateplení spodní stavby a soklu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6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přípravné práce a úpravy povrchů před zateplením fasád (vč. lešení)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zateplení fasád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výplně otvorů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parapety venkovní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zateplení půdy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podhledy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klempířské prvky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nátěry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VRN-zařízení staveniště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demontáže a bourání - balkóny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zateplení fasád - renovace balkónů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15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proofErr w:type="spellStart"/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kce</w:t>
            </w:r>
            <w:proofErr w:type="spellEnd"/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 zámečnické (zábradlí balkónů)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402"/>
        </w:trPr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767" w:rsidRDefault="00AD7767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  <w:p w:rsidR="00AD7767" w:rsidRDefault="00AD7767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  <w:p w:rsidR="00AD7767" w:rsidRDefault="00AD7767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  <w:p w:rsidR="00AD7767" w:rsidRDefault="00AD7767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  <w:lastRenderedPageBreak/>
              <w:t>nezpůsobilé výdaje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b/>
                <w:bCs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930"/>
        </w:trPr>
        <w:tc>
          <w:tcPr>
            <w:tcW w:w="37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práce spojené se zateplením spodní stavby, </w:t>
            </w:r>
            <w:proofErr w:type="spellStart"/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demontáže+zemní</w:t>
            </w:r>
            <w:proofErr w:type="spellEnd"/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 </w:t>
            </w:r>
            <w:proofErr w:type="spellStart"/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práce+sokl+okapový</w:t>
            </w:r>
            <w:proofErr w:type="spellEnd"/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 xml:space="preserve"> chodníček</w:t>
            </w:r>
          </w:p>
        </w:tc>
        <w:tc>
          <w:tcPr>
            <w:tcW w:w="84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19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povrchové úpravy terénu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komunikace pozemní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15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elektromontáže</w:t>
            </w:r>
          </w:p>
        </w:tc>
        <w:tc>
          <w:tcPr>
            <w:tcW w:w="84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15"/>
        </w:trPr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3627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3904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292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plnění bez DPH</w:t>
            </w:r>
          </w:p>
        </w:tc>
        <w:tc>
          <w:tcPr>
            <w:tcW w:w="3627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3904" w:type="dxa"/>
            <w:gridSpan w:val="8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2928" w:type="dxa"/>
            <w:gridSpan w:val="6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DPH 15%</w:t>
            </w:r>
          </w:p>
        </w:tc>
        <w:tc>
          <w:tcPr>
            <w:tcW w:w="3627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390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29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15"/>
        </w:trPr>
        <w:tc>
          <w:tcPr>
            <w:tcW w:w="374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plnění vč. DPH</w:t>
            </w:r>
          </w:p>
        </w:tc>
        <w:tc>
          <w:tcPr>
            <w:tcW w:w="3627" w:type="dxa"/>
            <w:gridSpan w:val="4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3904" w:type="dxa"/>
            <w:gridSpan w:val="8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2928" w:type="dxa"/>
            <w:gridSpan w:val="6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  <w:r w:rsidRPr="00F86E6B"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  <w:t> </w:t>
            </w: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Calibri"/>
                <w:color w:val="000000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  <w:tr w:rsidR="00F86E6B" w:rsidRPr="00F86E6B" w:rsidTr="00F86E6B">
        <w:trPr>
          <w:gridAfter w:val="1"/>
          <w:wAfter w:w="570" w:type="dxa"/>
          <w:trHeight w:val="300"/>
        </w:trPr>
        <w:tc>
          <w:tcPr>
            <w:tcW w:w="37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jc w:val="center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  <w:tc>
          <w:tcPr>
            <w:tcW w:w="9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6E6B" w:rsidRPr="00F86E6B" w:rsidRDefault="00F86E6B" w:rsidP="00F86E6B">
            <w:pPr>
              <w:widowControl/>
              <w:suppressAutoHyphens w:val="0"/>
              <w:rPr>
                <w:rFonts w:ascii="Book Antiqua" w:eastAsia="Times New Roman" w:hAnsi="Book Antiqua" w:cs="Times New Roman"/>
                <w:kern w:val="0"/>
                <w:sz w:val="20"/>
                <w:szCs w:val="20"/>
                <w:lang w:eastAsia="cs-CZ" w:bidi="ar-SA"/>
              </w:rPr>
            </w:pPr>
          </w:p>
        </w:tc>
      </w:tr>
    </w:tbl>
    <w:p w:rsidR="00F86E6B" w:rsidRDefault="00F86E6B">
      <w:pPr>
        <w:autoSpaceDE w:val="0"/>
        <w:spacing w:line="360" w:lineRule="auto"/>
        <w:jc w:val="both"/>
        <w:rPr>
          <w:rFonts w:ascii="Book Antiqua" w:hAnsi="Book Antiqua" w:cs="Arial"/>
          <w:sz w:val="20"/>
          <w:szCs w:val="20"/>
        </w:rPr>
      </w:pPr>
    </w:p>
    <w:tbl>
      <w:tblPr>
        <w:tblW w:w="15579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933"/>
        <w:gridCol w:w="654"/>
        <w:gridCol w:w="654"/>
        <w:gridCol w:w="754"/>
        <w:gridCol w:w="754"/>
        <w:gridCol w:w="754"/>
        <w:gridCol w:w="754"/>
        <w:gridCol w:w="754"/>
        <w:gridCol w:w="754"/>
        <w:gridCol w:w="754"/>
        <w:gridCol w:w="754"/>
        <w:gridCol w:w="241"/>
        <w:gridCol w:w="513"/>
        <w:gridCol w:w="851"/>
        <w:gridCol w:w="477"/>
        <w:gridCol w:w="367"/>
        <w:gridCol w:w="754"/>
        <w:gridCol w:w="199"/>
        <w:gridCol w:w="70"/>
        <w:gridCol w:w="485"/>
        <w:gridCol w:w="58"/>
        <w:gridCol w:w="102"/>
        <w:gridCol w:w="189"/>
      </w:tblGrid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750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2"/>
                <w:szCs w:val="22"/>
                <w:lang w:eastAsia="cs-CZ"/>
              </w:rPr>
            </w:pPr>
            <w:r w:rsidRPr="00AD7767">
              <w:rPr>
                <w:rFonts w:ascii="Book Antiqua" w:eastAsia="Times New Roman" w:hAnsi="Book Antiqua" w:cs="Calibri"/>
                <w:color w:val="000000"/>
                <w:sz w:val="22"/>
                <w:szCs w:val="22"/>
                <w:lang w:eastAsia="cs-CZ"/>
              </w:rPr>
              <w:t xml:space="preserve">Oprava bytových domů Bochoř, ulice Zahradní č. 397/3, č. 398/4 a </w:t>
            </w:r>
            <w:r w:rsidR="00AD7767">
              <w:rPr>
                <w:rFonts w:ascii="Book Antiqua" w:eastAsia="Times New Roman" w:hAnsi="Book Antiqua" w:cs="Calibri"/>
                <w:color w:val="000000"/>
                <w:sz w:val="22"/>
                <w:szCs w:val="22"/>
                <w:lang w:eastAsia="cs-CZ"/>
              </w:rPr>
              <w:t xml:space="preserve">               </w:t>
            </w:r>
            <w:r w:rsidRPr="00AD7767">
              <w:rPr>
                <w:rFonts w:ascii="Book Antiqua" w:eastAsia="Times New Roman" w:hAnsi="Book Antiqua" w:cs="Calibri"/>
                <w:color w:val="000000"/>
                <w:sz w:val="22"/>
                <w:szCs w:val="22"/>
                <w:lang w:eastAsia="cs-CZ"/>
              </w:rPr>
              <w:t>č.  399/5 - II. ETAPA</w:t>
            </w:r>
          </w:p>
          <w:p w:rsidR="00AD7767" w:rsidRPr="00267CCE" w:rsidRDefault="00AD7767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</w:tr>
      <w:tr w:rsidR="00AD7767" w:rsidRPr="00267CCE" w:rsidTr="00AD7767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767" w:rsidRPr="00267CCE" w:rsidRDefault="00AD7767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časová osa od předání staveniště </w:t>
            </w:r>
          </w:p>
        </w:tc>
        <w:tc>
          <w:tcPr>
            <w:tcW w:w="1308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7767" w:rsidRPr="00267CCE" w:rsidRDefault="00AD7767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3. měsíc</w:t>
            </w:r>
          </w:p>
        </w:tc>
        <w:tc>
          <w:tcPr>
            <w:tcW w:w="301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D7767" w:rsidRPr="00267CCE" w:rsidRDefault="00AD7767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4. měsíc</w:t>
            </w:r>
          </w:p>
        </w:tc>
        <w:tc>
          <w:tcPr>
            <w:tcW w:w="3016" w:type="dxa"/>
            <w:gridSpan w:val="4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</w:tcPr>
          <w:p w:rsidR="00AD7767" w:rsidRPr="00267CCE" w:rsidRDefault="00AD7767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5</w:t>
            </w: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. měsíc</w:t>
            </w:r>
          </w:p>
        </w:tc>
        <w:tc>
          <w:tcPr>
            <w:tcW w:w="3957" w:type="dxa"/>
            <w:gridSpan w:val="9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bottom"/>
          </w:tcPr>
          <w:p w:rsidR="00AD7767" w:rsidRPr="00267CCE" w:rsidRDefault="00AD7767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6</w:t>
            </w: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. měsíc</w:t>
            </w:r>
          </w:p>
        </w:tc>
      </w:tr>
      <w:tr w:rsidR="00A937E8" w:rsidRPr="00267CCE" w:rsidTr="00A937E8">
        <w:trPr>
          <w:gridAfter w:val="3"/>
          <w:wAfter w:w="349" w:type="dxa"/>
          <w:trHeight w:val="315"/>
        </w:trPr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654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12. týden 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13.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14.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15.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16.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17.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18.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19.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20.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21. týden 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22. týden 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23. týden 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24. týden 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25. týden 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26. týden </w:t>
            </w:r>
          </w:p>
        </w:tc>
      </w:tr>
      <w:tr w:rsidR="00A937E8" w:rsidRPr="00267CCE" w:rsidTr="00A937E8">
        <w:trPr>
          <w:gridAfter w:val="3"/>
          <w:wAfter w:w="349" w:type="dxa"/>
          <w:trHeight w:val="315"/>
        </w:trPr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cs-CZ"/>
              </w:rPr>
              <w:t>způsobilé hlavní výdaje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demontáže</w:t>
            </w: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zemní práce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zateplení spodní stavby a soklu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6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přípravné práce a úpravy povrchů před zateplením fasád (vč. lešení)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zateplení fasád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výplně otvorů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parapety venkovní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zateplení půdy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podhledy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lastRenderedPageBreak/>
              <w:t>klempířské prvky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nátěry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VRN-zařízení staveniště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demontáže a bourání - balkóny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zateplení fasád - renovace balkónů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15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proofErr w:type="spellStart"/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kce</w:t>
            </w:r>
            <w:proofErr w:type="spellEnd"/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 zámečnické (zábradlí balkónů)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15"/>
        </w:trPr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D7767" w:rsidRDefault="00AD7767" w:rsidP="00A937E8">
            <w:pPr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cs-CZ"/>
              </w:rPr>
              <w:t>nezpůsobilé výdaje</w:t>
            </w: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b/>
                <w:bCs/>
                <w:color w:val="000000"/>
                <w:sz w:val="20"/>
                <w:szCs w:val="20"/>
                <w:lang w:eastAsia="cs-CZ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</w:tr>
      <w:tr w:rsidR="00A937E8" w:rsidRPr="00267CCE" w:rsidTr="00A937E8">
        <w:trPr>
          <w:gridAfter w:val="3"/>
          <w:wAfter w:w="349" w:type="dxa"/>
          <w:trHeight w:val="900"/>
        </w:trPr>
        <w:tc>
          <w:tcPr>
            <w:tcW w:w="3933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práce spojené se zateplením spodní stavby, </w:t>
            </w:r>
            <w:proofErr w:type="spellStart"/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demontáže+zemní</w:t>
            </w:r>
            <w:proofErr w:type="spellEnd"/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 </w:t>
            </w:r>
            <w:proofErr w:type="spellStart"/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práce+sokl+okapový</w:t>
            </w:r>
            <w:proofErr w:type="spellEnd"/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 xml:space="preserve"> chodníček</w:t>
            </w: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povrchové úpravy terénu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komunikace pozemní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15"/>
        </w:trPr>
        <w:tc>
          <w:tcPr>
            <w:tcW w:w="3933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elektromontáže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6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844" w:type="dxa"/>
            <w:gridSpan w:val="2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  <w:tc>
          <w:tcPr>
            <w:tcW w:w="754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000000" w:fill="D9D9D9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1"/>
          <w:wAfter w:w="189" w:type="dxa"/>
          <w:trHeight w:val="300"/>
        </w:trPr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</w:p>
        </w:tc>
        <w:tc>
          <w:tcPr>
            <w:tcW w:w="28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301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74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8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3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55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1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plnění bez DPH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0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54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DPH 15%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30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  <w:tc>
          <w:tcPr>
            <w:tcW w:w="54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 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plnění vč. DPH</w:t>
            </w:r>
          </w:p>
        </w:tc>
        <w:tc>
          <w:tcPr>
            <w:tcW w:w="13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30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150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  <w:tc>
          <w:tcPr>
            <w:tcW w:w="5465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</w:pPr>
            <w:r w:rsidRPr="00267CCE">
              <w:rPr>
                <w:rFonts w:ascii="Book Antiqua" w:eastAsia="Times New Roman" w:hAnsi="Book Antiqua" w:cs="Calibri"/>
                <w:color w:val="000000"/>
                <w:sz w:val="20"/>
                <w:szCs w:val="20"/>
                <w:lang w:eastAsia="cs-CZ"/>
              </w:rPr>
              <w:t>0</w:t>
            </w:r>
          </w:p>
        </w:tc>
      </w:tr>
      <w:tr w:rsidR="00A937E8" w:rsidRPr="00267CCE" w:rsidTr="00A937E8">
        <w:trPr>
          <w:gridAfter w:val="3"/>
          <w:wAfter w:w="349" w:type="dxa"/>
          <w:trHeight w:val="300"/>
        </w:trPr>
        <w:tc>
          <w:tcPr>
            <w:tcW w:w="39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jc w:val="center"/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8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  <w:tc>
          <w:tcPr>
            <w:tcW w:w="75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</w:tr>
      <w:tr w:rsidR="00A937E8" w:rsidRPr="00267CCE" w:rsidTr="00A937E8">
        <w:trPr>
          <w:trHeight w:val="300"/>
        </w:trPr>
        <w:tc>
          <w:tcPr>
            <w:tcW w:w="14745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</w:p>
        </w:tc>
        <w:tc>
          <w:tcPr>
            <w:tcW w:w="54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Calibri"/>
                <w:color w:val="000000"/>
                <w:lang w:eastAsia="cs-CZ"/>
              </w:rPr>
            </w:pPr>
          </w:p>
        </w:tc>
        <w:tc>
          <w:tcPr>
            <w:tcW w:w="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937E8" w:rsidRPr="00267CCE" w:rsidRDefault="00A937E8" w:rsidP="00A937E8">
            <w:pPr>
              <w:rPr>
                <w:rFonts w:ascii="Book Antiqua" w:eastAsia="Times New Roman" w:hAnsi="Book Antiqua" w:cs="Times New Roman"/>
                <w:sz w:val="20"/>
                <w:szCs w:val="20"/>
                <w:lang w:eastAsia="cs-CZ"/>
              </w:rPr>
            </w:pPr>
          </w:p>
        </w:tc>
      </w:tr>
    </w:tbl>
    <w:p w:rsidR="00F86E6B" w:rsidRPr="00191B62" w:rsidRDefault="00F86E6B">
      <w:pPr>
        <w:autoSpaceDE w:val="0"/>
        <w:spacing w:line="360" w:lineRule="auto"/>
        <w:jc w:val="both"/>
        <w:rPr>
          <w:rFonts w:ascii="Book Antiqua" w:hAnsi="Book Antiqua" w:cs="Arial"/>
          <w:sz w:val="20"/>
          <w:szCs w:val="20"/>
        </w:rPr>
      </w:pPr>
      <w:bookmarkStart w:id="1" w:name="_GoBack"/>
      <w:bookmarkEnd w:id="1"/>
    </w:p>
    <w:p w:rsidR="0079603E" w:rsidRPr="00191B62" w:rsidRDefault="0079603E">
      <w:pPr>
        <w:autoSpaceDE w:val="0"/>
        <w:spacing w:line="360" w:lineRule="auto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 w:bidi="ar-SA"/>
        </w:rPr>
      </w:pPr>
      <w:r w:rsidRPr="00191B62">
        <w:rPr>
          <w:rFonts w:ascii="Book Antiqua" w:eastAsia="Times New Roman" w:hAnsi="Book Antiqua" w:cs="Arial"/>
          <w:color w:val="000000"/>
          <w:sz w:val="20"/>
          <w:szCs w:val="20"/>
          <w:lang w:eastAsia="ar-SA" w:bidi="ar-SA"/>
        </w:rPr>
        <w:t xml:space="preserve">V </w:t>
      </w:r>
      <w:r w:rsidRPr="00191B62">
        <w:rPr>
          <w:rFonts w:ascii="Book Antiqua" w:eastAsia="Times New Roman" w:hAnsi="Book Antiqua" w:cs="Arial"/>
          <w:color w:val="000000"/>
          <w:sz w:val="20"/>
          <w:szCs w:val="20"/>
          <w:shd w:val="clear" w:color="auto" w:fill="CCCCFF"/>
          <w:lang w:eastAsia="ar-SA" w:bidi="ar-SA"/>
        </w:rPr>
        <w:t>.................................</w:t>
      </w:r>
      <w:r w:rsidRPr="00191B62">
        <w:rPr>
          <w:rFonts w:ascii="Book Antiqua" w:eastAsia="Times New Roman" w:hAnsi="Book Antiqua" w:cs="Arial"/>
          <w:color w:val="000000"/>
          <w:sz w:val="20"/>
          <w:szCs w:val="20"/>
          <w:lang w:eastAsia="ar-SA" w:bidi="ar-SA"/>
        </w:rPr>
        <w:t xml:space="preserve"> dne </w:t>
      </w:r>
      <w:r w:rsidRPr="00191B62">
        <w:rPr>
          <w:rFonts w:ascii="Book Antiqua" w:eastAsia="Times New Roman" w:hAnsi="Book Antiqua" w:cs="Arial"/>
          <w:color w:val="000000"/>
          <w:sz w:val="20"/>
          <w:szCs w:val="20"/>
          <w:shd w:val="clear" w:color="auto" w:fill="CCCCFF"/>
          <w:lang w:eastAsia="ar-SA" w:bidi="ar-SA"/>
        </w:rPr>
        <w:t>.............................</w:t>
      </w:r>
    </w:p>
    <w:p w:rsidR="0079603E" w:rsidRDefault="0079603E">
      <w:pPr>
        <w:autoSpaceDE w:val="0"/>
        <w:spacing w:line="200" w:lineRule="atLeast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 w:bidi="ar-SA"/>
        </w:rPr>
      </w:pPr>
    </w:p>
    <w:p w:rsidR="00191B62" w:rsidRDefault="00191B62">
      <w:pPr>
        <w:autoSpaceDE w:val="0"/>
        <w:spacing w:line="200" w:lineRule="atLeast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 w:bidi="ar-SA"/>
        </w:rPr>
      </w:pPr>
    </w:p>
    <w:p w:rsidR="00191B62" w:rsidRPr="00191B62" w:rsidRDefault="00191B62">
      <w:pPr>
        <w:autoSpaceDE w:val="0"/>
        <w:spacing w:line="200" w:lineRule="atLeast"/>
        <w:jc w:val="both"/>
        <w:rPr>
          <w:rFonts w:ascii="Book Antiqua" w:eastAsia="Times New Roman" w:hAnsi="Book Antiqua" w:cs="Arial"/>
          <w:color w:val="000000"/>
          <w:sz w:val="20"/>
          <w:szCs w:val="20"/>
          <w:lang w:eastAsia="ar-SA" w:bidi="ar-SA"/>
        </w:rPr>
      </w:pPr>
    </w:p>
    <w:p w:rsidR="0079603E" w:rsidRPr="00F9772A" w:rsidRDefault="0079603E">
      <w:pPr>
        <w:autoSpaceDE w:val="0"/>
        <w:spacing w:line="200" w:lineRule="atLeast"/>
        <w:jc w:val="both"/>
        <w:rPr>
          <w:rFonts w:ascii="Book Antiqua" w:hAnsi="Book Antiqua"/>
        </w:rPr>
      </w:pPr>
      <w:r w:rsidRPr="00F9772A">
        <w:rPr>
          <w:rFonts w:ascii="Book Antiqua" w:hAnsi="Book Antiqua" w:cs="Arial"/>
          <w:b/>
          <w:bCs/>
          <w:sz w:val="20"/>
          <w:szCs w:val="20"/>
        </w:rPr>
        <w:t>Jméno</w:t>
      </w:r>
      <w:r w:rsidRPr="00F9772A">
        <w:rPr>
          <w:rFonts w:ascii="Book Antiqua" w:hAnsi="Book Antiqua" w:cs="Arial"/>
          <w:sz w:val="20"/>
          <w:szCs w:val="20"/>
        </w:rPr>
        <w:t xml:space="preserve"> a </w:t>
      </w:r>
      <w:r w:rsidRPr="00F9772A">
        <w:rPr>
          <w:rFonts w:ascii="Book Antiqua" w:hAnsi="Book Antiqua" w:cs="Arial"/>
          <w:b/>
          <w:bCs/>
          <w:sz w:val="20"/>
          <w:szCs w:val="20"/>
        </w:rPr>
        <w:t>funkce</w:t>
      </w:r>
      <w:r w:rsidRPr="00F9772A">
        <w:rPr>
          <w:rFonts w:ascii="Book Antiqua" w:hAnsi="Book Antiqua" w:cs="Arial"/>
          <w:sz w:val="20"/>
          <w:szCs w:val="20"/>
        </w:rPr>
        <w:t xml:space="preserve"> oprávněné osoby</w:t>
      </w:r>
    </w:p>
    <w:sectPr w:rsidR="0079603E" w:rsidRPr="00F9772A" w:rsidSect="00F86E6B">
      <w:pgSz w:w="16838" w:h="11906" w:orient="landscape"/>
      <w:pgMar w:top="1304" w:right="1686" w:bottom="1134" w:left="567" w:header="708" w:footer="708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937E8" w:rsidRDefault="00A937E8">
      <w:r>
        <w:separator/>
      </w:r>
    </w:p>
  </w:endnote>
  <w:endnote w:type="continuationSeparator" w:id="0">
    <w:p w:rsidR="00A937E8" w:rsidRDefault="00A937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937E8" w:rsidRDefault="00A937E8">
      <w:r>
        <w:separator/>
      </w:r>
    </w:p>
  </w:footnote>
  <w:footnote w:type="continuationSeparator" w:id="0">
    <w:p w:rsidR="00A937E8" w:rsidRDefault="00A937E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oNotTrackMoves/>
  <w:defaultTabStop w:val="709"/>
  <w:hyphenationZone w:val="425"/>
  <w:defaultTableStyle w:val="Normln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doNotUseHTMLParagraphAutoSpacing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80CD2"/>
    <w:rsid w:val="00191B62"/>
    <w:rsid w:val="00223208"/>
    <w:rsid w:val="00351E91"/>
    <w:rsid w:val="00492887"/>
    <w:rsid w:val="004E0020"/>
    <w:rsid w:val="00542055"/>
    <w:rsid w:val="00565CE9"/>
    <w:rsid w:val="00680CD2"/>
    <w:rsid w:val="0079603E"/>
    <w:rsid w:val="007E1D44"/>
    <w:rsid w:val="00862F8A"/>
    <w:rsid w:val="00876193"/>
    <w:rsid w:val="009A413A"/>
    <w:rsid w:val="00A70ECD"/>
    <w:rsid w:val="00A937E8"/>
    <w:rsid w:val="00AD7767"/>
    <w:rsid w:val="00BD6F9E"/>
    <w:rsid w:val="00C009B9"/>
    <w:rsid w:val="00C268C9"/>
    <w:rsid w:val="00CA59F6"/>
    <w:rsid w:val="00EE0EF8"/>
    <w:rsid w:val="00EE6C67"/>
    <w:rsid w:val="00F86E6B"/>
    <w:rsid w:val="00F9772A"/>
    <w:rsid w:val="00FA5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oNotEmbedSmartTags/>
  <w:decimalSymbol w:val=","/>
  <w:listSeparator w:val=";"/>
  <w14:docId w14:val="0F1E186A"/>
  <w15:docId w15:val="{37D9533E-4509-437F-A809-6FA983108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70ECD"/>
    <w:pPr>
      <w:widowControl w:val="0"/>
      <w:suppressAutoHyphens/>
    </w:pPr>
    <w:rPr>
      <w:rFonts w:eastAsia="Lucida Sans Unicode" w:cs="Mangal"/>
      <w:kern w:val="1"/>
      <w:sz w:val="24"/>
      <w:szCs w:val="24"/>
      <w:lang w:eastAsia="hi-IN" w:bidi="hi-IN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Standardnpsmoodstavce1">
    <w:name w:val="Standardní písmo odstavce1"/>
    <w:rsid w:val="00A70ECD"/>
  </w:style>
  <w:style w:type="character" w:customStyle="1" w:styleId="Absatz-Standardschriftart">
    <w:name w:val="Absatz-Standardschriftart"/>
    <w:rsid w:val="00A70ECD"/>
  </w:style>
  <w:style w:type="character" w:customStyle="1" w:styleId="WW-Absatz-Standardschriftart">
    <w:name w:val="WW-Absatz-Standardschriftart"/>
    <w:rsid w:val="00A70ECD"/>
  </w:style>
  <w:style w:type="character" w:customStyle="1" w:styleId="WW-Absatz-Standardschriftart1">
    <w:name w:val="WW-Absatz-Standardschriftart1"/>
    <w:rsid w:val="00A70ECD"/>
  </w:style>
  <w:style w:type="character" w:customStyle="1" w:styleId="WW-Absatz-Standardschriftart11">
    <w:name w:val="WW-Absatz-Standardschriftart11"/>
    <w:rsid w:val="00A70ECD"/>
  </w:style>
  <w:style w:type="character" w:customStyle="1" w:styleId="WW-Absatz-Standardschriftart111">
    <w:name w:val="WW-Absatz-Standardschriftart111"/>
    <w:rsid w:val="00A70ECD"/>
  </w:style>
  <w:style w:type="character" w:customStyle="1" w:styleId="WW-Absatz-Standardschriftart1111">
    <w:name w:val="WW-Absatz-Standardschriftart1111"/>
    <w:rsid w:val="00A70ECD"/>
  </w:style>
  <w:style w:type="character" w:customStyle="1" w:styleId="WW-Absatz-Standardschriftart11111">
    <w:name w:val="WW-Absatz-Standardschriftart11111"/>
    <w:rsid w:val="00A70ECD"/>
  </w:style>
  <w:style w:type="character" w:customStyle="1" w:styleId="WW-Absatz-Standardschriftart111111">
    <w:name w:val="WW-Absatz-Standardschriftart111111"/>
    <w:rsid w:val="00A70ECD"/>
  </w:style>
  <w:style w:type="character" w:customStyle="1" w:styleId="WW-Absatz-Standardschriftart1111111">
    <w:name w:val="WW-Absatz-Standardschriftart1111111"/>
    <w:rsid w:val="00A70ECD"/>
  </w:style>
  <w:style w:type="character" w:customStyle="1" w:styleId="WW-Absatz-Standardschriftart11111111">
    <w:name w:val="WW-Absatz-Standardschriftart11111111"/>
    <w:rsid w:val="00A70ECD"/>
  </w:style>
  <w:style w:type="character" w:customStyle="1" w:styleId="WW-Absatz-Standardschriftart111111111">
    <w:name w:val="WW-Absatz-Standardschriftart111111111"/>
    <w:rsid w:val="00A70ECD"/>
  </w:style>
  <w:style w:type="character" w:customStyle="1" w:styleId="WW-Absatz-Standardschriftart1111111111">
    <w:name w:val="WW-Absatz-Standardschriftart1111111111"/>
    <w:rsid w:val="00A70ECD"/>
  </w:style>
  <w:style w:type="character" w:customStyle="1" w:styleId="WW-Absatz-Standardschriftart11111111111">
    <w:name w:val="WW-Absatz-Standardschriftart11111111111"/>
    <w:rsid w:val="00A70ECD"/>
  </w:style>
  <w:style w:type="character" w:customStyle="1" w:styleId="WW-Absatz-Standardschriftart111111111111">
    <w:name w:val="WW-Absatz-Standardschriftart111111111111"/>
    <w:rsid w:val="00A70ECD"/>
  </w:style>
  <w:style w:type="character" w:customStyle="1" w:styleId="WW-Absatz-Standardschriftart1111111111111">
    <w:name w:val="WW-Absatz-Standardschriftart1111111111111"/>
    <w:rsid w:val="00A70ECD"/>
  </w:style>
  <w:style w:type="character" w:styleId="Hypertextovodkaz">
    <w:name w:val="Hyperlink"/>
    <w:rsid w:val="00A70ECD"/>
    <w:rPr>
      <w:color w:val="000080"/>
      <w:u w:val="single"/>
    </w:rPr>
  </w:style>
  <w:style w:type="character" w:customStyle="1" w:styleId="Symbolyproslovn">
    <w:name w:val="Symboly pro číslování"/>
    <w:rsid w:val="00A70ECD"/>
  </w:style>
  <w:style w:type="character" w:styleId="Siln">
    <w:name w:val="Strong"/>
    <w:qFormat/>
    <w:rsid w:val="00A70ECD"/>
    <w:rPr>
      <w:b/>
      <w:bCs/>
    </w:rPr>
  </w:style>
  <w:style w:type="character" w:customStyle="1" w:styleId="Znakypropoznmkupodarou">
    <w:name w:val="Znaky pro poznámku pod čarou"/>
    <w:rsid w:val="00A70ECD"/>
  </w:style>
  <w:style w:type="character" w:customStyle="1" w:styleId="Znakapoznpodarou1">
    <w:name w:val="Značka pozn. pod čarou1"/>
    <w:rsid w:val="00A70ECD"/>
    <w:rPr>
      <w:vertAlign w:val="superscript"/>
    </w:rPr>
  </w:style>
  <w:style w:type="character" w:customStyle="1" w:styleId="Znakyprovysvtlivky">
    <w:name w:val="Znaky pro vysvětlivky"/>
    <w:rsid w:val="00A70ECD"/>
    <w:rPr>
      <w:vertAlign w:val="superscript"/>
    </w:rPr>
  </w:style>
  <w:style w:type="character" w:customStyle="1" w:styleId="WW-Znakyprovysvtlivky">
    <w:name w:val="WW-Znaky pro vysvětlivky"/>
    <w:rsid w:val="00A70ECD"/>
  </w:style>
  <w:style w:type="character" w:customStyle="1" w:styleId="Odkaznavysvtlivky1">
    <w:name w:val="Odkaz na vysvětlivky1"/>
    <w:rsid w:val="00A70ECD"/>
    <w:rPr>
      <w:vertAlign w:val="superscript"/>
    </w:rPr>
  </w:style>
  <w:style w:type="character" w:styleId="Znakapoznpodarou">
    <w:name w:val="footnote reference"/>
    <w:rsid w:val="00A70ECD"/>
    <w:rPr>
      <w:vertAlign w:val="superscript"/>
    </w:rPr>
  </w:style>
  <w:style w:type="character" w:styleId="Odkaznavysvtlivky">
    <w:name w:val="endnote reference"/>
    <w:rsid w:val="00A70ECD"/>
    <w:rPr>
      <w:vertAlign w:val="superscript"/>
    </w:rPr>
  </w:style>
  <w:style w:type="character" w:styleId="slostrnky">
    <w:name w:val="page number"/>
    <w:basedOn w:val="Standardnpsmoodstavce1"/>
    <w:rsid w:val="00A70ECD"/>
  </w:style>
  <w:style w:type="character" w:customStyle="1" w:styleId="FontStyle41">
    <w:name w:val="Font Style41"/>
    <w:rsid w:val="00A70ECD"/>
    <w:rPr>
      <w:rFonts w:ascii="Arial" w:eastAsia="Arial" w:hAnsi="Arial" w:cs="Arial"/>
      <w:b/>
      <w:bCs/>
      <w:color w:val="auto"/>
      <w:sz w:val="24"/>
      <w:szCs w:val="24"/>
      <w:lang w:val="cs-CZ"/>
    </w:rPr>
  </w:style>
  <w:style w:type="character" w:customStyle="1" w:styleId="Standardnpsmoodstavce2">
    <w:name w:val="Standardní písmo odstavce2"/>
    <w:rsid w:val="00A70ECD"/>
    <w:rPr>
      <w:rFonts w:ascii="Arial" w:eastAsia="Arial" w:hAnsi="Arial" w:cs="Arial"/>
      <w:color w:val="auto"/>
      <w:sz w:val="24"/>
      <w:szCs w:val="24"/>
      <w:lang w:val="cs-CZ"/>
    </w:rPr>
  </w:style>
  <w:style w:type="character" w:customStyle="1" w:styleId="FontStyle42">
    <w:name w:val="Font Style42"/>
    <w:rsid w:val="00A70ECD"/>
    <w:rPr>
      <w:rFonts w:ascii="Arial" w:eastAsia="Arial" w:hAnsi="Arial" w:cs="Arial"/>
      <w:color w:val="auto"/>
      <w:sz w:val="18"/>
      <w:szCs w:val="18"/>
      <w:lang w:val="cs-CZ"/>
    </w:rPr>
  </w:style>
  <w:style w:type="paragraph" w:customStyle="1" w:styleId="Nadpis">
    <w:name w:val="Nadpis"/>
    <w:basedOn w:val="Normln"/>
    <w:next w:val="Zkladntext"/>
    <w:rsid w:val="00A70ECD"/>
    <w:pPr>
      <w:keepNext/>
      <w:spacing w:before="240" w:after="120"/>
    </w:pPr>
    <w:rPr>
      <w:rFonts w:ascii="Arial" w:hAnsi="Arial"/>
      <w:sz w:val="28"/>
      <w:szCs w:val="28"/>
    </w:rPr>
  </w:style>
  <w:style w:type="paragraph" w:styleId="Zkladntext">
    <w:name w:val="Body Text"/>
    <w:basedOn w:val="Normln"/>
    <w:rsid w:val="00A70ECD"/>
    <w:pPr>
      <w:spacing w:after="120"/>
    </w:pPr>
  </w:style>
  <w:style w:type="paragraph" w:styleId="Seznam">
    <w:name w:val="List"/>
    <w:basedOn w:val="Zkladntext"/>
    <w:rsid w:val="00A70ECD"/>
  </w:style>
  <w:style w:type="paragraph" w:customStyle="1" w:styleId="Popisek">
    <w:name w:val="Popisek"/>
    <w:basedOn w:val="Normln"/>
    <w:rsid w:val="00A70ECD"/>
    <w:pPr>
      <w:suppressLineNumbers/>
      <w:spacing w:before="120" w:after="120"/>
    </w:pPr>
    <w:rPr>
      <w:i/>
      <w:iCs/>
    </w:rPr>
  </w:style>
  <w:style w:type="paragraph" w:customStyle="1" w:styleId="Rejstk">
    <w:name w:val="Rejstřík"/>
    <w:basedOn w:val="Normln"/>
    <w:rsid w:val="00A70ECD"/>
    <w:pPr>
      <w:suppressLineNumbers/>
    </w:pPr>
  </w:style>
  <w:style w:type="paragraph" w:customStyle="1" w:styleId="Obsahtabulky">
    <w:name w:val="Obsah tabulky"/>
    <w:basedOn w:val="Normln"/>
    <w:rsid w:val="00A70ECD"/>
    <w:pPr>
      <w:suppressLineNumbers/>
    </w:pPr>
  </w:style>
  <w:style w:type="paragraph" w:customStyle="1" w:styleId="Nadpistabulky">
    <w:name w:val="Nadpis tabulky"/>
    <w:basedOn w:val="Obsahtabulky"/>
    <w:rsid w:val="00A70ECD"/>
    <w:pPr>
      <w:jc w:val="center"/>
    </w:pPr>
    <w:rPr>
      <w:b/>
      <w:bCs/>
    </w:rPr>
  </w:style>
  <w:style w:type="paragraph" w:styleId="Textpoznpodarou">
    <w:name w:val="footnote text"/>
    <w:basedOn w:val="Normln"/>
    <w:rsid w:val="00A70ECD"/>
    <w:pPr>
      <w:suppressLineNumbers/>
      <w:ind w:left="283" w:hanging="283"/>
    </w:pPr>
    <w:rPr>
      <w:sz w:val="20"/>
      <w:szCs w:val="20"/>
    </w:rPr>
  </w:style>
  <w:style w:type="paragraph" w:customStyle="1" w:styleId="Default">
    <w:name w:val="Default"/>
    <w:basedOn w:val="Normln"/>
    <w:rsid w:val="00A70ECD"/>
    <w:pPr>
      <w:autoSpaceDE w:val="0"/>
    </w:pPr>
    <w:rPr>
      <w:rFonts w:ascii="Arial" w:eastAsia="Arial" w:hAnsi="Arial" w:cs="Arial"/>
      <w:color w:val="000000"/>
    </w:rPr>
  </w:style>
  <w:style w:type="paragraph" w:customStyle="1" w:styleId="CM1">
    <w:name w:val="CM1"/>
    <w:basedOn w:val="Default"/>
    <w:next w:val="Default"/>
    <w:rsid w:val="00A70ECD"/>
    <w:pPr>
      <w:spacing w:line="326" w:lineRule="atLeast"/>
    </w:pPr>
  </w:style>
  <w:style w:type="paragraph" w:styleId="Zpat">
    <w:name w:val="footer"/>
    <w:basedOn w:val="Normln"/>
    <w:rsid w:val="00A70ECD"/>
    <w:pPr>
      <w:tabs>
        <w:tab w:val="center" w:pos="4536"/>
        <w:tab w:val="right" w:pos="9072"/>
      </w:tabs>
    </w:pPr>
  </w:style>
  <w:style w:type="paragraph" w:styleId="Zhlav">
    <w:name w:val="header"/>
    <w:aliases w:val="Příjmy,zisk,optimum,záhlaví"/>
    <w:basedOn w:val="Normln"/>
    <w:link w:val="ZhlavChar"/>
    <w:uiPriority w:val="99"/>
    <w:unhideWhenUsed/>
    <w:rsid w:val="00680CD2"/>
    <w:pPr>
      <w:tabs>
        <w:tab w:val="center" w:pos="4536"/>
        <w:tab w:val="right" w:pos="9072"/>
      </w:tabs>
    </w:pPr>
    <w:rPr>
      <w:szCs w:val="21"/>
    </w:rPr>
  </w:style>
  <w:style w:type="character" w:customStyle="1" w:styleId="ZhlavChar">
    <w:name w:val="Záhlaví Char"/>
    <w:aliases w:val="Příjmy Char,zisk Char,optimum Char,záhlaví Char"/>
    <w:link w:val="Zhlav"/>
    <w:uiPriority w:val="99"/>
    <w:rsid w:val="00680CD2"/>
    <w:rPr>
      <w:rFonts w:eastAsia="Lucida Sans Unicode" w:cs="Mangal"/>
      <w:kern w:val="1"/>
      <w:sz w:val="24"/>
      <w:szCs w:val="21"/>
      <w:lang w:eastAsia="hi-IN" w:bidi="hi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560990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05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3</Pages>
  <Words>468</Words>
  <Characters>2763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aaaaa</dc:creator>
  <cp:keywords/>
  <cp:lastModifiedBy>autor</cp:lastModifiedBy>
  <cp:revision>3</cp:revision>
  <cp:lastPrinted>1899-12-31T23:00:00Z</cp:lastPrinted>
  <dcterms:created xsi:type="dcterms:W3CDTF">2020-01-23T20:08:00Z</dcterms:created>
  <dcterms:modified xsi:type="dcterms:W3CDTF">2020-01-23T20:36:00Z</dcterms:modified>
</cp:coreProperties>
</file>